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tblInd w:w="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15" w:type="dxa"/>
          <w:right w:w="115" w:type="dxa"/>
        </w:tblCellMar>
        <w:tblLook w:val="00A0" w:firstRow="1" w:lastRow="0" w:firstColumn="1" w:lastColumn="0" w:noHBand="0" w:noVBand="0"/>
      </w:tblPr>
      <w:tblGrid>
        <w:gridCol w:w="1899"/>
        <w:gridCol w:w="1529"/>
        <w:gridCol w:w="1638"/>
        <w:gridCol w:w="1635"/>
        <w:gridCol w:w="1530"/>
        <w:gridCol w:w="1849"/>
      </w:tblGrid>
      <w:tr w:rsidR="00FE6DBA" w:rsidRPr="00FE6DBA" w14:paraId="2FC79EEA" w14:textId="77777777" w:rsidTr="00776C35">
        <w:trPr>
          <w:trHeight w:val="323"/>
        </w:trPr>
        <w:tc>
          <w:tcPr>
            <w:tcW w:w="1980" w:type="dxa"/>
            <w:tcBorders>
              <w:bottom w:val="single" w:sz="4" w:space="0" w:color="000000"/>
            </w:tcBorders>
            <w:shd w:val="solid" w:color="C6D9F1" w:themeColor="text2" w:themeTint="33" w:fill="auto"/>
          </w:tcPr>
          <w:p w14:paraId="4D614DD3" w14:textId="1823D6A6" w:rsidR="001E3568" w:rsidRPr="00FE6DBA" w:rsidRDefault="001E3568" w:rsidP="0030375C">
            <w:pPr>
              <w:spacing w:before="40" w:after="40"/>
              <w:jc w:val="center"/>
              <w:rPr>
                <w:rFonts w:ascii="Scala Sans-Regular Cn" w:hAnsi="Scala Sans-Regular Cn" w:cs="Arial"/>
                <w:b/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000000"/>
            </w:tcBorders>
            <w:shd w:val="solid" w:color="C6D9F1" w:themeColor="text2" w:themeTint="33" w:fill="auto"/>
          </w:tcPr>
          <w:p w14:paraId="28F381AD" w14:textId="01E60DA4" w:rsidR="001E3568" w:rsidRPr="00FE6DBA" w:rsidRDefault="001E3568" w:rsidP="0030375C">
            <w:pPr>
              <w:spacing w:before="40" w:after="40"/>
              <w:jc w:val="center"/>
              <w:rPr>
                <w:rFonts w:ascii="Scala Sans-Regular Cn" w:hAnsi="Scala Sans-Regular Cn" w:cs="Arial"/>
                <w:b/>
                <w:sz w:val="20"/>
                <w:szCs w:val="20"/>
              </w:rPr>
            </w:pPr>
            <w:r w:rsidRPr="00FE6DBA">
              <w:rPr>
                <w:rFonts w:ascii="Scala Sans-Regular Cn" w:hAnsi="Scala Sans-Regular Cn" w:cs="Arial"/>
                <w:b/>
                <w:sz w:val="20"/>
                <w:szCs w:val="20"/>
              </w:rPr>
              <w:t>Beginning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  <w:shd w:val="solid" w:color="C6D9F1" w:themeColor="text2" w:themeTint="33" w:fill="auto"/>
          </w:tcPr>
          <w:p w14:paraId="20C2A483" w14:textId="098DEDCC" w:rsidR="001E3568" w:rsidRPr="00FE6DBA" w:rsidRDefault="001E3568" w:rsidP="0030375C">
            <w:pPr>
              <w:spacing w:before="40" w:after="40"/>
              <w:jc w:val="center"/>
              <w:rPr>
                <w:rFonts w:ascii="Scala Sans-Regular Cn" w:hAnsi="Scala Sans-Regular Cn" w:cs="Arial"/>
                <w:b/>
                <w:sz w:val="20"/>
                <w:szCs w:val="20"/>
              </w:rPr>
            </w:pPr>
          </w:p>
        </w:tc>
        <w:tc>
          <w:tcPr>
            <w:tcW w:w="1710" w:type="dxa"/>
            <w:tcBorders>
              <w:bottom w:val="single" w:sz="4" w:space="0" w:color="000000"/>
            </w:tcBorders>
            <w:shd w:val="solid" w:color="C6D9F1" w:themeColor="text2" w:themeTint="33" w:fill="auto"/>
          </w:tcPr>
          <w:p w14:paraId="662E072F" w14:textId="6FEB878B" w:rsidR="001E3568" w:rsidRPr="00FE6DBA" w:rsidRDefault="001E3568" w:rsidP="0030375C">
            <w:pPr>
              <w:spacing w:before="40" w:after="40"/>
              <w:jc w:val="center"/>
              <w:rPr>
                <w:rFonts w:ascii="Scala Sans-Regular Cn" w:hAnsi="Scala Sans-Regular Cn" w:cs="Arial"/>
                <w:b/>
                <w:sz w:val="20"/>
                <w:szCs w:val="20"/>
              </w:rPr>
            </w:pPr>
            <w:r w:rsidRPr="00FE6DBA">
              <w:rPr>
                <w:rFonts w:ascii="Scala Sans-Regular Cn" w:hAnsi="Scala Sans-Regular Cn" w:cs="Arial"/>
                <w:b/>
                <w:sz w:val="20"/>
                <w:szCs w:val="20"/>
              </w:rPr>
              <w:t xml:space="preserve">Developing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  <w:shd w:val="solid" w:color="C6D9F1" w:themeColor="text2" w:themeTint="33" w:fill="auto"/>
          </w:tcPr>
          <w:p w14:paraId="0ED68EDD" w14:textId="71A608D1" w:rsidR="001E3568" w:rsidRPr="00FE6DBA" w:rsidRDefault="001E3568" w:rsidP="0030375C">
            <w:pPr>
              <w:spacing w:before="40" w:after="40"/>
              <w:jc w:val="center"/>
              <w:rPr>
                <w:rFonts w:ascii="Scala Sans-Regular Cn" w:hAnsi="Scala Sans-Regular Cn" w:cs="Arial"/>
                <w:b/>
                <w:sz w:val="20"/>
                <w:szCs w:val="20"/>
              </w:rPr>
            </w:pPr>
          </w:p>
        </w:tc>
        <w:tc>
          <w:tcPr>
            <w:tcW w:w="2070" w:type="dxa"/>
            <w:tcBorders>
              <w:bottom w:val="single" w:sz="4" w:space="0" w:color="000000"/>
            </w:tcBorders>
            <w:shd w:val="solid" w:color="C6D9F1" w:themeColor="text2" w:themeTint="33" w:fill="auto"/>
          </w:tcPr>
          <w:p w14:paraId="58336044" w14:textId="55DC66D6" w:rsidR="001E3568" w:rsidRPr="00FE6DBA" w:rsidRDefault="00FE6DBA" w:rsidP="0030375C">
            <w:pPr>
              <w:spacing w:before="40" w:after="40"/>
              <w:jc w:val="center"/>
              <w:rPr>
                <w:rFonts w:ascii="Scala Sans-Regular Cn" w:hAnsi="Scala Sans-Regular Cn" w:cs="Arial"/>
                <w:b/>
                <w:sz w:val="20"/>
                <w:szCs w:val="20"/>
              </w:rPr>
            </w:pPr>
            <w:r>
              <w:rPr>
                <w:rFonts w:ascii="Scala Sans-Regular Cn" w:hAnsi="Scala Sans-Regular Cn" w:cs="Arial"/>
                <w:b/>
                <w:sz w:val="20"/>
                <w:szCs w:val="20"/>
              </w:rPr>
              <w:t>Advanced</w:t>
            </w:r>
          </w:p>
        </w:tc>
      </w:tr>
      <w:tr w:rsidR="00FE6DBA" w:rsidRPr="00FE6DBA" w14:paraId="2F3A7444" w14:textId="77777777" w:rsidTr="00776C35">
        <w:trPr>
          <w:trHeight w:val="2249"/>
        </w:trPr>
        <w:tc>
          <w:tcPr>
            <w:tcW w:w="1980" w:type="dxa"/>
            <w:tcBorders>
              <w:bottom w:val="single" w:sz="4" w:space="0" w:color="000000"/>
            </w:tcBorders>
            <w:shd w:val="solid" w:color="C6D9F1" w:themeColor="text2" w:themeTint="33" w:fill="auto"/>
          </w:tcPr>
          <w:p w14:paraId="6A2F179F" w14:textId="7EF66D87" w:rsidR="001E3568" w:rsidRPr="00FE6DBA" w:rsidRDefault="001E3568" w:rsidP="00A040AE">
            <w:pPr>
              <w:spacing w:before="40"/>
              <w:rPr>
                <w:rFonts w:ascii="Scala Sans-Regular Cn" w:hAnsi="Scala Sans-Regular Cn" w:cs="Arial"/>
                <w:sz w:val="20"/>
                <w:szCs w:val="20"/>
              </w:rPr>
            </w:pPr>
            <w:r w:rsidRPr="00FE6DBA">
              <w:rPr>
                <w:rFonts w:ascii="Scala Sans-Regular Cn" w:hAnsi="Scala Sans-Regular Cn" w:cs="Arial"/>
                <w:b/>
                <w:sz w:val="20"/>
                <w:szCs w:val="20"/>
              </w:rPr>
              <w:t>Content</w:t>
            </w:r>
            <w:r w:rsidR="00FE6DBA">
              <w:rPr>
                <w:rFonts w:ascii="Scala Sans-Regular Cn" w:hAnsi="Scala Sans-Regular Cn" w:cs="Arial"/>
                <w:sz w:val="20"/>
                <w:szCs w:val="20"/>
              </w:rPr>
              <w:t xml:space="preserve">          </w:t>
            </w: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>The sophistication, depth, and thoughtfulness of your engagement with and contribution to the scholarly conversation, your argument, your evidence, and/or your analysis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12EBEF05" w14:textId="77777777" w:rsidR="001E3568" w:rsidRPr="00FE6DBA" w:rsidRDefault="001E3568" w:rsidP="0030375C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>Involves an unspecified or confusing argument; lacks appropriate evidence</w:t>
            </w:r>
          </w:p>
          <w:p w14:paraId="003D4C97" w14:textId="77777777" w:rsidR="001E3568" w:rsidRPr="00FE6DBA" w:rsidRDefault="001E3568" w:rsidP="007E313F">
            <w:pPr>
              <w:spacing w:before="40" w:after="40"/>
              <w:ind w:right="-100"/>
              <w:rPr>
                <w:rFonts w:ascii="Scala Sans-Regular Cn" w:hAnsi="Scala Sans-Regular Cn" w:cs="Arial"/>
                <w:sz w:val="14"/>
                <w:szCs w:val="14"/>
              </w:rPr>
            </w:pPr>
          </w:p>
          <w:p w14:paraId="2BAA224D" w14:textId="4AAFF20E" w:rsidR="001E3568" w:rsidRPr="00FE6DBA" w:rsidRDefault="001E3568" w:rsidP="007E313F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>Ignores two or more key aspects of the rhetorical situation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6895DE24" w14:textId="77777777" w:rsidR="001E3568" w:rsidRPr="00FE6DBA" w:rsidRDefault="001E3568" w:rsidP="0030375C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>Makes an overly general argument; has weak or contradictory evidence</w:t>
            </w:r>
          </w:p>
          <w:p w14:paraId="5877F1A7" w14:textId="77777777" w:rsidR="001E3568" w:rsidRPr="00FE6DBA" w:rsidRDefault="001E3568" w:rsidP="007E313F">
            <w:pPr>
              <w:spacing w:before="40" w:after="40"/>
              <w:ind w:right="-110"/>
              <w:rPr>
                <w:rFonts w:ascii="Scala Sans-Regular Cn" w:hAnsi="Scala Sans-Regular Cn" w:cs="Arial"/>
                <w:sz w:val="14"/>
                <w:szCs w:val="14"/>
              </w:rPr>
            </w:pPr>
          </w:p>
          <w:p w14:paraId="38F2C142" w14:textId="0C7E8710" w:rsidR="001E3568" w:rsidRPr="00FE6DBA" w:rsidRDefault="001E3568" w:rsidP="007E313F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>Ignores at least one key aspect of the rhetorical situation, consequently compromising effectiveness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46626C35" w14:textId="08CE74E1" w:rsidR="001E3568" w:rsidRPr="00FE6DBA" w:rsidRDefault="001E3568" w:rsidP="007E313F">
            <w:pPr>
              <w:spacing w:before="40" w:after="40"/>
              <w:ind w:right="-31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 xml:space="preserve">Lacks a unified argument; lacks significance (“so what?”); lacks sufficient analysis </w:t>
            </w:r>
          </w:p>
          <w:p w14:paraId="73667E47" w14:textId="77777777" w:rsidR="001E3568" w:rsidRPr="00FE6DBA" w:rsidRDefault="001E3568" w:rsidP="007E313F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</w:p>
          <w:p w14:paraId="53ECE049" w14:textId="48DE0764" w:rsidR="001E3568" w:rsidRPr="00FE6DBA" w:rsidRDefault="001E3568" w:rsidP="007E313F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>Insufficiently or inappropriately attempts to respond to all aspects of the rhetorical situation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2D6F7A40" w14:textId="77777777" w:rsidR="001E3568" w:rsidRPr="00FE6DBA" w:rsidRDefault="001E3568" w:rsidP="00DD1E6A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>Offers a unified but common position with predictable evidence and analysis</w:t>
            </w:r>
          </w:p>
          <w:p w14:paraId="28B1AAD0" w14:textId="77777777" w:rsidR="001E3568" w:rsidRPr="00FE6DBA" w:rsidRDefault="001E3568" w:rsidP="00DD1E6A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</w:p>
          <w:p w14:paraId="41652C28" w14:textId="42F2C4EE" w:rsidR="001E3568" w:rsidRPr="00FE6DBA" w:rsidRDefault="001E3568" w:rsidP="00DD1E6A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>Addresses the situation in a perfunctory or predictable way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5E0C7B96" w14:textId="77777777" w:rsidR="001E3568" w:rsidRPr="00FE6DBA" w:rsidRDefault="001E3568" w:rsidP="0030375C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>Offers an inventive, unified, distinct position with precise and compelling evidence and analysis</w:t>
            </w:r>
          </w:p>
          <w:p w14:paraId="1FEE097A" w14:textId="77777777" w:rsidR="001E3568" w:rsidRPr="00FE6DBA" w:rsidRDefault="001E3568" w:rsidP="0030375C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</w:p>
          <w:p w14:paraId="615BD9FD" w14:textId="09EE5AF3" w:rsidR="001E3568" w:rsidRPr="00FE6DBA" w:rsidRDefault="001E3568" w:rsidP="0030375C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>Addresses the situation in a complete and sophisticated manner and provides unexpected insight</w:t>
            </w:r>
          </w:p>
        </w:tc>
      </w:tr>
      <w:tr w:rsidR="00FE6DBA" w:rsidRPr="00FE6DBA" w14:paraId="04232C14" w14:textId="77777777" w:rsidTr="00776C35">
        <w:trPr>
          <w:trHeight w:val="432"/>
        </w:trPr>
        <w:tc>
          <w:tcPr>
            <w:tcW w:w="1980" w:type="dxa"/>
            <w:tcBorders>
              <w:bottom w:val="single" w:sz="4" w:space="0" w:color="000000"/>
            </w:tcBorders>
            <w:shd w:val="solid" w:color="C6D9F1" w:themeColor="text2" w:themeTint="33" w:fill="auto"/>
          </w:tcPr>
          <w:p w14:paraId="5FC084FA" w14:textId="3F141090" w:rsidR="001E3568" w:rsidRPr="00FE6DBA" w:rsidRDefault="001E3568" w:rsidP="007E313F">
            <w:pPr>
              <w:spacing w:before="40" w:after="40"/>
              <w:rPr>
                <w:rFonts w:ascii="Scala Sans-Regular Cn" w:hAnsi="Scala Sans-Regular Cn" w:cs="Arial"/>
                <w:sz w:val="20"/>
                <w:szCs w:val="20"/>
              </w:rPr>
            </w:pPr>
            <w:r w:rsidRPr="00FE6DBA">
              <w:rPr>
                <w:rFonts w:ascii="Scala Sans-Regular Cn" w:hAnsi="Scala Sans-Regular Cn" w:cs="Arial"/>
                <w:b/>
                <w:sz w:val="20"/>
                <w:szCs w:val="20"/>
              </w:rPr>
              <w:t>Higher-Order Concerns</w:t>
            </w:r>
          </w:p>
          <w:p w14:paraId="708B18A9" w14:textId="04BB0B19" w:rsidR="001E3568" w:rsidRPr="00FE6DBA" w:rsidRDefault="00FE6DBA" w:rsidP="007E313F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  <w:r>
              <w:rPr>
                <w:rFonts w:ascii="Scala Sans-Regular Cn" w:hAnsi="Scala Sans-Regular Cn" w:cs="Arial"/>
                <w:sz w:val="14"/>
                <w:szCs w:val="14"/>
              </w:rPr>
              <w:t>Unity of s</w:t>
            </w:r>
            <w:r w:rsidR="001E3568" w:rsidRPr="00FE6DBA">
              <w:rPr>
                <w:rFonts w:ascii="Scala Sans-Regular Cn" w:hAnsi="Scala Sans-Regular Cn" w:cs="Arial"/>
                <w:sz w:val="14"/>
                <w:szCs w:val="14"/>
              </w:rPr>
              <w:t>tructure and coherence on the argument-, paragraph-, and sentence-level; success of introductions and conclusions; inclusion of logical connections between key ideas; and response to the situation/assignment, purpose, audience, register, and context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233E01EF" w14:textId="03F2C13D" w:rsidR="001E3568" w:rsidRPr="00FE6DBA" w:rsidRDefault="001E3568" w:rsidP="007E313F">
            <w:pPr>
              <w:spacing w:before="40" w:after="40"/>
              <w:ind w:right="-10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>Constituent parts of the product appear to be connected to one another; coherence has been disregarded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1CDCEF17" w14:textId="5AE5DB94" w:rsidR="001E3568" w:rsidRPr="00FE6DBA" w:rsidRDefault="001E3568" w:rsidP="007E313F">
            <w:pPr>
              <w:spacing w:before="40" w:after="40"/>
              <w:ind w:right="-11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>Uses insufficient unifying statements; uses few effective connections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62CD00D9" w14:textId="7C619372" w:rsidR="001E3568" w:rsidRPr="00FE6DBA" w:rsidRDefault="001E3568" w:rsidP="007E313F">
            <w:pPr>
              <w:spacing w:before="40" w:after="40"/>
              <w:ind w:right="-31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 xml:space="preserve">Uses some effective unifying claims, but a few are unclear; makes connections weakly or inconsistently 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6DA66736" w14:textId="77777777" w:rsidR="001E3568" w:rsidRPr="00FE6DBA" w:rsidRDefault="001E3568" w:rsidP="0030375C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>States unifying claims with supporting points that relate clearly to the overall argument and employs an effective but mechanical scheme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23D26F6A" w14:textId="3AA52EBA" w:rsidR="001E3568" w:rsidRPr="00FE6DBA" w:rsidRDefault="001E3568" w:rsidP="0030375C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>Asserts and sustains a sophisticated claim that develops progressively and adapts typical organizational schemes for the context, achieving substantive coherence</w:t>
            </w:r>
          </w:p>
        </w:tc>
        <w:bookmarkStart w:id="0" w:name="_GoBack"/>
        <w:bookmarkEnd w:id="0"/>
      </w:tr>
      <w:tr w:rsidR="00FE6DBA" w:rsidRPr="00FE6DBA" w14:paraId="702BA644" w14:textId="77777777" w:rsidTr="00776C35">
        <w:trPr>
          <w:trHeight w:val="1160"/>
        </w:trPr>
        <w:tc>
          <w:tcPr>
            <w:tcW w:w="1980" w:type="dxa"/>
            <w:tcBorders>
              <w:bottom w:val="single" w:sz="4" w:space="0" w:color="000000"/>
            </w:tcBorders>
            <w:shd w:val="solid" w:color="C6D9F1" w:themeColor="text2" w:themeTint="33" w:fill="auto"/>
          </w:tcPr>
          <w:p w14:paraId="42B498DD" w14:textId="248F1CAE" w:rsidR="001E3568" w:rsidRPr="00FE6DBA" w:rsidRDefault="001E3568" w:rsidP="007E313F">
            <w:pPr>
              <w:spacing w:before="40" w:after="40"/>
              <w:rPr>
                <w:rFonts w:ascii="Scala Sans-Regular Cn" w:hAnsi="Scala Sans-Regular Cn" w:cs="Arial"/>
                <w:b/>
                <w:sz w:val="20"/>
                <w:szCs w:val="20"/>
              </w:rPr>
            </w:pPr>
            <w:r w:rsidRPr="00FE6DBA">
              <w:rPr>
                <w:rFonts w:ascii="Scala Sans-Regular Cn" w:hAnsi="Scala Sans-Regular Cn" w:cs="Arial"/>
                <w:b/>
                <w:sz w:val="20"/>
                <w:szCs w:val="20"/>
              </w:rPr>
              <w:t>Lower-Order Concerns</w:t>
            </w:r>
          </w:p>
          <w:p w14:paraId="545EB52F" w14:textId="0FA5BD2A" w:rsidR="001E3568" w:rsidRPr="00FE6DBA" w:rsidRDefault="001E3568" w:rsidP="00A040AE">
            <w:pPr>
              <w:spacing w:before="40" w:after="40"/>
              <w:rPr>
                <w:rFonts w:ascii="Scala Sans-Regular Cn" w:hAnsi="Scala Sans-Regular Cn" w:cs="Arial"/>
                <w:b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b/>
                <w:sz w:val="14"/>
                <w:szCs w:val="14"/>
              </w:rPr>
              <w:t>Your handling of grammar, mechanics, citation, and formatting choices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5059B593" w14:textId="533055E5" w:rsidR="001E3568" w:rsidRPr="00FE6DBA" w:rsidRDefault="001E3568" w:rsidP="0030375C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 xml:space="preserve">Involves a major pattern of errors 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1C9798A7" w14:textId="7FE98BF0" w:rsidR="001E3568" w:rsidRPr="00FE6DBA" w:rsidRDefault="001E3568" w:rsidP="0030375C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>Involves some distracting errors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7EC806BF" w14:textId="738B162A" w:rsidR="001E3568" w:rsidRPr="00FE6DBA" w:rsidRDefault="001E3568" w:rsidP="0030375C">
            <w:pPr>
              <w:spacing w:before="40" w:after="40"/>
              <w:ind w:right="-26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>Meets expectations, with minor errors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5AB7C38C" w14:textId="068531E0" w:rsidR="001E3568" w:rsidRPr="00FE6DBA" w:rsidRDefault="001E3568" w:rsidP="0030375C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 xml:space="preserve">Exceeds expectations </w:t>
            </w: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br/>
              <w:t>in a virtually flawless manner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56D5BCEE" w14:textId="7490CB27" w:rsidR="001E3568" w:rsidRPr="00FE6DBA" w:rsidRDefault="001E3568" w:rsidP="0030375C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>Manipulates expectations in ways that advance the argument</w:t>
            </w:r>
          </w:p>
        </w:tc>
      </w:tr>
      <w:tr w:rsidR="00FE6DBA" w:rsidRPr="00FE6DBA" w14:paraId="61D517F9" w14:textId="77777777" w:rsidTr="00776C35">
        <w:trPr>
          <w:trHeight w:val="3437"/>
        </w:trPr>
        <w:tc>
          <w:tcPr>
            <w:tcW w:w="1980" w:type="dxa"/>
            <w:tcBorders>
              <w:bottom w:val="single" w:sz="4" w:space="0" w:color="000000"/>
            </w:tcBorders>
            <w:shd w:val="solid" w:color="C6D9F1" w:themeColor="text2" w:themeTint="33" w:fill="auto"/>
          </w:tcPr>
          <w:p w14:paraId="55967CBB" w14:textId="3939782B" w:rsidR="001E3568" w:rsidRPr="00FE6DBA" w:rsidRDefault="001E3568" w:rsidP="00A040AE">
            <w:pPr>
              <w:spacing w:before="40"/>
              <w:rPr>
                <w:rFonts w:ascii="Scala Sans-Regular Cn" w:hAnsi="Scala Sans-Regular Cn" w:cs="Arial"/>
                <w:b/>
                <w:sz w:val="20"/>
                <w:szCs w:val="20"/>
              </w:rPr>
            </w:pPr>
            <w:r w:rsidRPr="00FE6DBA">
              <w:rPr>
                <w:rFonts w:ascii="Scala Sans-Regular Cn" w:hAnsi="Scala Sans-Regular Cn" w:cs="Arial"/>
                <w:b/>
                <w:sz w:val="20"/>
                <w:szCs w:val="20"/>
              </w:rPr>
              <w:t>Conventions</w:t>
            </w:r>
            <w:r w:rsidR="00FE6DBA">
              <w:rPr>
                <w:rFonts w:ascii="Scala Sans-Regular Cn" w:hAnsi="Scala Sans-Regular Cn" w:cs="Arial"/>
                <w:b/>
                <w:sz w:val="20"/>
                <w:szCs w:val="20"/>
              </w:rPr>
              <w:t xml:space="preserve"> </w:t>
            </w:r>
            <w:r w:rsidRPr="00FE6DBA">
              <w:rPr>
                <w:rFonts w:ascii="Scala Sans-Regular Cn" w:hAnsi="Scala Sans-Regular Cn" w:cs="Arial"/>
                <w:b/>
                <w:sz w:val="14"/>
                <w:szCs w:val="14"/>
              </w:rPr>
              <w:t xml:space="preserve">Your incorporation of </w:t>
            </w:r>
            <w:r w:rsidRPr="00FE6DBA">
              <w:rPr>
                <w:rFonts w:ascii="Scala Sans-Regular Cn" w:hAnsi="Scala Sans-Regular Cn" w:cs="Arial"/>
                <w:b/>
                <w:bCs/>
                <w:sz w:val="14"/>
                <w:szCs w:val="14"/>
              </w:rPr>
              <w:t>features necessary for the assignment’s genre and mode. For a persuasive essay, that means characteristics like a thesis, evidence, they say/I say rhetorical patterns, formal scholarly tone, etc.  For anything published digitally, that means hyperlinks, thoughtful font selection, purposeful organization, images, sound, video, etc. when helpful</w:t>
            </w:r>
          </w:p>
        </w:tc>
        <w:tc>
          <w:tcPr>
            <w:tcW w:w="1620" w:type="dxa"/>
            <w:tcBorders>
              <w:bottom w:val="single" w:sz="4" w:space="0" w:color="000000"/>
            </w:tcBorders>
          </w:tcPr>
          <w:p w14:paraId="2A10BF63" w14:textId="77777777" w:rsidR="001E3568" w:rsidRPr="00FE6DBA" w:rsidRDefault="001E3568" w:rsidP="00A040AE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 xml:space="preserve">Lacks essential features necessary for the genre </w:t>
            </w:r>
          </w:p>
          <w:p w14:paraId="1B8FB0BE" w14:textId="77777777" w:rsidR="001E3568" w:rsidRPr="00FE6DBA" w:rsidRDefault="001E3568" w:rsidP="00A040AE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</w:p>
          <w:p w14:paraId="7164F6FA" w14:textId="5575102B" w:rsidR="001E3568" w:rsidRPr="00FE6DBA" w:rsidRDefault="001E3568" w:rsidP="00A040AE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 xml:space="preserve">Uses features that </w:t>
            </w:r>
            <w:r w:rsidRPr="00FE6DBA">
              <w:rPr>
                <w:rFonts w:ascii="Scala Sans-Regular Cn" w:hAnsi="Scala Sans-Regular Cn" w:cs="Arial"/>
                <w:b/>
                <w:sz w:val="14"/>
                <w:szCs w:val="14"/>
              </w:rPr>
              <w:t>hinder</w:t>
            </w: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 xml:space="preserve"> the purpose or argument of the assignment</w:t>
            </w:r>
          </w:p>
          <w:p w14:paraId="50D408DD" w14:textId="77777777" w:rsidR="001E3568" w:rsidRPr="00FE6DBA" w:rsidRDefault="001E3568" w:rsidP="00A040AE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</w:p>
          <w:p w14:paraId="093BFFDB" w14:textId="60E2B83C" w:rsidR="001E3568" w:rsidRPr="00FE6DBA" w:rsidRDefault="001E3568" w:rsidP="00A040AE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>Neglects significant affordances, such as linking on the web</w:t>
            </w:r>
          </w:p>
        </w:tc>
        <w:tc>
          <w:tcPr>
            <w:tcW w:w="1800" w:type="dxa"/>
            <w:tcBorders>
              <w:bottom w:val="single" w:sz="4" w:space="0" w:color="000000"/>
            </w:tcBorders>
          </w:tcPr>
          <w:p w14:paraId="6F092D28" w14:textId="32F673BD" w:rsidR="001E3568" w:rsidRPr="00FE6DBA" w:rsidRDefault="001E3568" w:rsidP="0030375C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>Omits some important features necessary for the genre</w:t>
            </w:r>
          </w:p>
          <w:p w14:paraId="4739BB30" w14:textId="77777777" w:rsidR="001E3568" w:rsidRPr="00FE6DBA" w:rsidRDefault="001E3568" w:rsidP="0030375C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</w:p>
          <w:p w14:paraId="5A9C59EC" w14:textId="75D70CE9" w:rsidR="001E3568" w:rsidRPr="00FE6DBA" w:rsidRDefault="001E3568" w:rsidP="0030375C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 xml:space="preserve">Uses features that </w:t>
            </w:r>
            <w:r w:rsidRPr="00FE6DBA">
              <w:rPr>
                <w:rFonts w:ascii="Scala Sans-Regular Cn" w:hAnsi="Scala Sans-Regular Cn" w:cs="Arial"/>
                <w:b/>
                <w:sz w:val="14"/>
                <w:szCs w:val="14"/>
              </w:rPr>
              <w:t>don’t support</w:t>
            </w: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 xml:space="preserve"> the purpose or argument of the assignment</w:t>
            </w:r>
          </w:p>
          <w:p w14:paraId="2BA892B0" w14:textId="77777777" w:rsidR="001E3568" w:rsidRPr="00FE6DBA" w:rsidRDefault="001E3568" w:rsidP="0030375C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</w:p>
          <w:p w14:paraId="5DD339F1" w14:textId="79844A20" w:rsidR="001E3568" w:rsidRPr="00FE6DBA" w:rsidRDefault="001E3568" w:rsidP="0030375C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>Involves distracting inconsistencies in features (e.g., type and headings)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71F9D280" w14:textId="56173E74" w:rsidR="001E3568" w:rsidRPr="00FE6DBA" w:rsidRDefault="001E3568" w:rsidP="0030375C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>Includes expected features that support the purpose or argument of the assignment</w:t>
            </w:r>
          </w:p>
          <w:p w14:paraId="553601A8" w14:textId="77777777" w:rsidR="001E3568" w:rsidRPr="00FE6DBA" w:rsidRDefault="001E3568" w:rsidP="0030375C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</w:p>
          <w:p w14:paraId="0B62B409" w14:textId="59A0B697" w:rsidR="001E3568" w:rsidRPr="00FE6DBA" w:rsidRDefault="001E3568" w:rsidP="001E3568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>Involves minor omissions of affordances and/or includes affordances inconsistently</w:t>
            </w:r>
          </w:p>
        </w:tc>
        <w:tc>
          <w:tcPr>
            <w:tcW w:w="1710" w:type="dxa"/>
            <w:tcBorders>
              <w:bottom w:val="single" w:sz="4" w:space="0" w:color="000000"/>
            </w:tcBorders>
          </w:tcPr>
          <w:p w14:paraId="12F22E61" w14:textId="71A58472" w:rsidR="001E3568" w:rsidRPr="00FE6DBA" w:rsidRDefault="001E3568" w:rsidP="0030375C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 xml:space="preserve">Supports the argument or purpose of the assignment with features that are generally suited to genre and content </w:t>
            </w:r>
          </w:p>
          <w:p w14:paraId="7F306FB5" w14:textId="77777777" w:rsidR="001E3568" w:rsidRPr="00FE6DBA" w:rsidRDefault="001E3568" w:rsidP="0030375C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</w:p>
          <w:p w14:paraId="64A17CCF" w14:textId="6FEA00DF" w:rsidR="001E3568" w:rsidRPr="00FE6DBA" w:rsidRDefault="001E3568" w:rsidP="0030375C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>Promotes engagement and supports the argument with features that efficiently use affordances</w:t>
            </w:r>
          </w:p>
        </w:tc>
        <w:tc>
          <w:tcPr>
            <w:tcW w:w="2070" w:type="dxa"/>
            <w:tcBorders>
              <w:bottom w:val="single" w:sz="4" w:space="0" w:color="000000"/>
            </w:tcBorders>
          </w:tcPr>
          <w:p w14:paraId="065A580E" w14:textId="41112888" w:rsidR="001E3568" w:rsidRPr="00FE6DBA" w:rsidRDefault="001E3568" w:rsidP="0030375C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 xml:space="preserve">Persuades or achieves the purpose of the </w:t>
            </w:r>
            <w:r w:rsidR="00FE6DBA" w:rsidRPr="00FE6DBA">
              <w:rPr>
                <w:rFonts w:ascii="Scala Sans-Regular Cn" w:hAnsi="Scala Sans-Regular Cn" w:cs="Arial"/>
                <w:sz w:val="14"/>
                <w:szCs w:val="14"/>
              </w:rPr>
              <w:t>assignment with</w:t>
            </w: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 xml:space="preserve"> careful, seamless integration of features and content </w:t>
            </w:r>
          </w:p>
          <w:p w14:paraId="78E2A34B" w14:textId="77777777" w:rsidR="001E3568" w:rsidRPr="00FE6DBA" w:rsidRDefault="001E3568" w:rsidP="0030375C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</w:p>
          <w:p w14:paraId="223DEC3D" w14:textId="3690F220" w:rsidR="001E3568" w:rsidRPr="00FE6DBA" w:rsidRDefault="001E3568" w:rsidP="001E3568">
            <w:pPr>
              <w:spacing w:before="40" w:after="40"/>
              <w:rPr>
                <w:rFonts w:ascii="Scala Sans-Regular Cn" w:hAnsi="Scala Sans-Regular Cn" w:cs="Arial"/>
                <w:sz w:val="14"/>
                <w:szCs w:val="14"/>
              </w:rPr>
            </w:pPr>
            <w:r w:rsidRPr="00FE6DBA">
              <w:rPr>
                <w:rFonts w:ascii="Scala Sans-Regular Cn" w:hAnsi="Scala Sans-Regular Cn" w:cs="Arial"/>
                <w:sz w:val="14"/>
                <w:szCs w:val="14"/>
              </w:rPr>
              <w:t>Includes new or creative affordances or incorporates expected affordances in an innovative way</w:t>
            </w:r>
          </w:p>
        </w:tc>
      </w:tr>
    </w:tbl>
    <w:p w14:paraId="197FE0BB" w14:textId="5BAE6B90" w:rsidR="004E4C8D" w:rsidRPr="00C75FFC" w:rsidRDefault="004E4C8D" w:rsidP="00C75FFC">
      <w:pPr>
        <w:rPr>
          <w:rFonts w:ascii="Scala Sans-Regular Cn" w:hAnsi="Scala Sans-Regular Cn"/>
          <w:b/>
          <w:color w:val="000000"/>
          <w:sz w:val="18"/>
          <w:szCs w:val="20"/>
        </w:rPr>
      </w:pPr>
    </w:p>
    <w:sectPr w:rsidR="004E4C8D" w:rsidRPr="00C75FFC" w:rsidSect="00776C35"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cala Sans-Regular Cn">
    <w:altName w:val="Geneva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7306"/>
    <w:rsid w:val="00043F51"/>
    <w:rsid w:val="00137A6B"/>
    <w:rsid w:val="00147800"/>
    <w:rsid w:val="001B0CA8"/>
    <w:rsid w:val="001E3568"/>
    <w:rsid w:val="00273CDC"/>
    <w:rsid w:val="0030375C"/>
    <w:rsid w:val="00316AEF"/>
    <w:rsid w:val="00321AF3"/>
    <w:rsid w:val="003A7656"/>
    <w:rsid w:val="004E4C8D"/>
    <w:rsid w:val="0071526F"/>
    <w:rsid w:val="00776C35"/>
    <w:rsid w:val="007E313F"/>
    <w:rsid w:val="008164C6"/>
    <w:rsid w:val="00853816"/>
    <w:rsid w:val="008A4EE6"/>
    <w:rsid w:val="00942ECA"/>
    <w:rsid w:val="00A040AE"/>
    <w:rsid w:val="00A82E9E"/>
    <w:rsid w:val="00A87306"/>
    <w:rsid w:val="00AD51A0"/>
    <w:rsid w:val="00B32707"/>
    <w:rsid w:val="00C05821"/>
    <w:rsid w:val="00C348F9"/>
    <w:rsid w:val="00C75FFC"/>
    <w:rsid w:val="00CB624C"/>
    <w:rsid w:val="00D7087D"/>
    <w:rsid w:val="00D821BE"/>
    <w:rsid w:val="00DD1E6A"/>
    <w:rsid w:val="00E56C16"/>
    <w:rsid w:val="00EA73AC"/>
    <w:rsid w:val="00F252AB"/>
    <w:rsid w:val="00FE6DB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6D0775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0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7306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68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531</Words>
  <Characters>3032</Characters>
  <Application>Microsoft Macintosh Word</Application>
  <DocSecurity>0</DocSecurity>
  <Lines>25</Lines>
  <Paragraphs>7</Paragraphs>
  <ScaleCrop>false</ScaleCrop>
  <Company/>
  <LinksUpToDate>false</LinksUpToDate>
  <CharactersWithSpaces>3556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lccsupport</dc:creator>
  <cp:keywords/>
  <dc:description/>
  <cp:lastModifiedBy>Lauren Holt</cp:lastModifiedBy>
  <cp:revision>3</cp:revision>
  <cp:lastPrinted>2015-01-14T14:38:00Z</cp:lastPrinted>
  <dcterms:created xsi:type="dcterms:W3CDTF">2015-01-14T14:37:00Z</dcterms:created>
  <dcterms:modified xsi:type="dcterms:W3CDTF">2015-01-14T14:38:00Z</dcterms:modified>
</cp:coreProperties>
</file>